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B2" w:rsidRDefault="00A8246C">
      <w:pPr>
        <w:pStyle w:val="DWTTitle"/>
        <w:keepNext w:val="0"/>
        <w:widowControl/>
        <w:spacing w:after="0"/>
        <w:rPr>
          <w:caps w:val="0"/>
        </w:rPr>
      </w:pPr>
      <w:bookmarkStart w:id="0" w:name="_GoBack"/>
      <w:bookmarkEnd w:id="0"/>
      <w:r>
        <w:rPr>
          <w:caps w:val="0"/>
        </w:rPr>
        <w:t>ARTICLES OF AMENDMENT</w:t>
      </w:r>
    </w:p>
    <w:p w:rsidR="00496DB2" w:rsidRDefault="00881B28">
      <w:pPr>
        <w:widowControl/>
        <w:jc w:val="center"/>
        <w:rPr>
          <w:b/>
        </w:rPr>
      </w:pPr>
      <w:r>
        <w:rPr>
          <w:b/>
        </w:rPr>
        <w:t>OF</w:t>
      </w:r>
    </w:p>
    <w:p w:rsidR="00496DB2" w:rsidRDefault="001B7ECA">
      <w:pPr>
        <w:tabs>
          <w:tab w:val="center" w:pos="4680"/>
        </w:tabs>
        <w:suppressAutoHyphens/>
        <w:spacing w:after="360"/>
        <w:jc w:val="center"/>
        <w:rPr>
          <w:b/>
          <w:caps/>
          <w:szCs w:val="24"/>
        </w:rPr>
      </w:pPr>
      <w:r>
        <w:rPr>
          <w:b/>
          <w:caps/>
          <w:szCs w:val="24"/>
        </w:rPr>
        <w:t>SNOHOMISH COUNTY VOLUNTEER SEARCH AND RESCUE, INC.</w:t>
      </w:r>
      <w:r w:rsidR="00467CB4">
        <w:rPr>
          <w:b/>
          <w:caps/>
          <w:szCs w:val="24"/>
        </w:rPr>
        <w:t xml:space="preserve">  </w:t>
      </w:r>
    </w:p>
    <w:p w:rsidR="003A66EA" w:rsidRDefault="003A66EA" w:rsidP="003A66EA">
      <w:pPr>
        <w:pStyle w:val="DWTNorm"/>
        <w:widowControl w:val="0"/>
        <w:suppressAutoHyphens/>
      </w:pPr>
      <w:r>
        <w:t>Pursuant to the provisions of RCW 24.03 of the Washington Nonprofit Corporation Act, the undersigned adopts the following Articles of Amendment to the Articles of Incorporation:</w:t>
      </w:r>
    </w:p>
    <w:p w:rsidR="003A66EA" w:rsidRPr="00FA44EC" w:rsidRDefault="003A66EA" w:rsidP="002D0EA6">
      <w:pPr>
        <w:pStyle w:val="DWTNorm"/>
        <w:widowControl w:val="0"/>
        <w:numPr>
          <w:ilvl w:val="0"/>
          <w:numId w:val="10"/>
        </w:numPr>
        <w:suppressAutoHyphens/>
        <w:rPr>
          <w:b/>
        </w:rPr>
      </w:pPr>
      <w:r>
        <w:t xml:space="preserve">The name of record of the corporation is </w:t>
      </w:r>
      <w:r w:rsidR="001B7ECA">
        <w:t>Snohomish County Volunteer Search and Rescue, Inc</w:t>
      </w:r>
      <w:r>
        <w:t>.</w:t>
      </w:r>
    </w:p>
    <w:p w:rsidR="002D0EA6" w:rsidRPr="00FA44EC" w:rsidRDefault="00921F46" w:rsidP="002D0EA6">
      <w:pPr>
        <w:widowControl/>
        <w:numPr>
          <w:ilvl w:val="0"/>
          <w:numId w:val="10"/>
        </w:numPr>
        <w:spacing w:after="240"/>
        <w:rPr>
          <w:b/>
        </w:rPr>
      </w:pPr>
      <w:r>
        <w:t xml:space="preserve">At a meeting of the membership of the corporation held on </w:t>
      </w:r>
      <w:r w:rsidR="003D2F84">
        <w:t>November 12</w:t>
      </w:r>
      <w:r>
        <w:t xml:space="preserve">, 2013, at which a quorum of the membership was present, members representing at least two-thirds of the votes which those members present at the meeting were entitled to cast voted to adopt these amendments to the </w:t>
      </w:r>
      <w:r w:rsidR="002D0EA6">
        <w:t>corporation’s Articles of Incorporation.</w:t>
      </w:r>
      <w:r w:rsidR="00467CB4">
        <w:t xml:space="preserve">  </w:t>
      </w:r>
    </w:p>
    <w:p w:rsidR="00A8246C" w:rsidRPr="00FA44EC" w:rsidRDefault="003A66EA" w:rsidP="002D0EA6">
      <w:pPr>
        <w:widowControl/>
        <w:numPr>
          <w:ilvl w:val="0"/>
          <w:numId w:val="10"/>
        </w:numPr>
        <w:spacing w:after="240"/>
        <w:rPr>
          <w:b/>
        </w:rPr>
      </w:pPr>
      <w:r>
        <w:t>T</w:t>
      </w:r>
      <w:r w:rsidR="004F5B0E">
        <w:t xml:space="preserve">he Articles of Incorporation are </w:t>
      </w:r>
      <w:r>
        <w:t>amended in their entirety</w:t>
      </w:r>
      <w:r w:rsidR="002D0EA6">
        <w:t>, to read</w:t>
      </w:r>
      <w:r>
        <w:t xml:space="preserve"> as follows</w:t>
      </w:r>
      <w:r w:rsidR="004F5B0E">
        <w:t>:</w:t>
      </w:r>
    </w:p>
    <w:p w:rsidR="00496DB2" w:rsidRDefault="00881B28">
      <w:pPr>
        <w:pStyle w:val="OutHead1"/>
      </w:pPr>
      <w:r>
        <w:br/>
        <w:t>Name</w:t>
      </w:r>
    </w:p>
    <w:p w:rsidR="00496DB2" w:rsidRDefault="00881B28">
      <w:pPr>
        <w:widowControl/>
        <w:spacing w:after="240"/>
        <w:ind w:firstLine="720"/>
      </w:pPr>
      <w:r>
        <w:t xml:space="preserve">The name of the corporation is </w:t>
      </w:r>
      <w:r w:rsidR="00CC6A02">
        <w:t>Snohomish County Volunteer Search and Rescue, Inc</w:t>
      </w:r>
      <w:r>
        <w:t>.</w:t>
      </w:r>
    </w:p>
    <w:p w:rsidR="00496DB2" w:rsidRDefault="00881B28">
      <w:pPr>
        <w:pStyle w:val="OutHead1"/>
      </w:pPr>
      <w:r>
        <w:br/>
        <w:t>Membership</w:t>
      </w:r>
    </w:p>
    <w:p w:rsidR="00496DB2" w:rsidRDefault="009D3C5E">
      <w:pPr>
        <w:widowControl/>
        <w:spacing w:after="240"/>
        <w:ind w:firstLine="720"/>
      </w:pPr>
      <w:r>
        <w:t>The corporation shall have a single class of members.  The qualifications, rights, powers, and duties of members shall be as set forth in the Bylaws.</w:t>
      </w:r>
    </w:p>
    <w:p w:rsidR="00496DB2" w:rsidRDefault="00881B28">
      <w:pPr>
        <w:pStyle w:val="OutHead1"/>
      </w:pPr>
      <w:r>
        <w:br/>
        <w:t>Duration</w:t>
      </w:r>
    </w:p>
    <w:p w:rsidR="00496DB2" w:rsidRDefault="00881B28">
      <w:pPr>
        <w:widowControl/>
        <w:spacing w:after="240"/>
        <w:ind w:firstLine="720"/>
      </w:pPr>
      <w:r>
        <w:t>The duration of the corporation shall be perpetual.</w:t>
      </w:r>
    </w:p>
    <w:p w:rsidR="00496DB2" w:rsidRDefault="00881B28">
      <w:pPr>
        <w:pStyle w:val="OutHead1"/>
      </w:pPr>
      <w:r>
        <w:br/>
        <w:t>Registered Office and Agent</w:t>
      </w:r>
    </w:p>
    <w:p w:rsidR="00496DB2" w:rsidRDefault="00881B28">
      <w:pPr>
        <w:widowControl/>
        <w:spacing w:after="240"/>
        <w:ind w:firstLine="720"/>
      </w:pPr>
      <w:r>
        <w:t xml:space="preserve">The registered office of the corporation is </w:t>
      </w:r>
      <w:r w:rsidR="00434F57">
        <w:t>5506 Old Machias Road</w:t>
      </w:r>
      <w:r w:rsidR="003B4D5D">
        <w:t>, Snohomish</w:t>
      </w:r>
      <w:r w:rsidR="00CC6A02">
        <w:t xml:space="preserve">, WA  </w:t>
      </w:r>
      <w:r w:rsidR="00434F57">
        <w:t>98290</w:t>
      </w:r>
      <w:r>
        <w:t xml:space="preserve">, and the registered agent at such address is </w:t>
      </w:r>
      <w:r w:rsidR="00CC6A02">
        <w:t>Ken Lakey</w:t>
      </w:r>
      <w:r>
        <w:t>.</w:t>
      </w:r>
      <w:r w:rsidR="00467CB4">
        <w:t xml:space="preserve">  </w:t>
      </w:r>
    </w:p>
    <w:p w:rsidR="00496DB2" w:rsidRDefault="00881B28">
      <w:pPr>
        <w:pStyle w:val="OutHead1"/>
      </w:pPr>
      <w:r>
        <w:br/>
        <w:t>Purposes, Limitations and Powers</w:t>
      </w:r>
    </w:p>
    <w:p w:rsidR="00496DB2" w:rsidRDefault="00881B28" w:rsidP="00150B99">
      <w:pPr>
        <w:pStyle w:val="OutHead2"/>
      </w:pPr>
      <w:r>
        <w:t xml:space="preserve">Purposes.  </w:t>
      </w:r>
      <w:r w:rsidR="00863290" w:rsidRPr="00150B99">
        <w:rPr>
          <w:b w:val="0"/>
        </w:rPr>
        <w:t>To oper</w:t>
      </w:r>
      <w:r w:rsidR="00225438" w:rsidRPr="00150B99">
        <w:rPr>
          <w:b w:val="0"/>
        </w:rPr>
        <w:t>ate exclusively for charitable and</w:t>
      </w:r>
      <w:r w:rsidR="00863290" w:rsidRPr="00150B99">
        <w:rPr>
          <w:b w:val="0"/>
        </w:rPr>
        <w:t xml:space="preserve"> educational purposes, within the meaning of Section 501(c)(3) of the Internal Revenue Code of 1986, as amended (the “Code”), or any successor provision, including</w:t>
      </w:r>
      <w:r w:rsidR="00150B99" w:rsidRPr="00150B99">
        <w:rPr>
          <w:b w:val="0"/>
        </w:rPr>
        <w:t>, for such purposes, the making of distributions to organizations that qualify as exempt organizations under section 501(c)(3) of the Internal Revenue Code, or the corresponding section of any future federal tax code</w:t>
      </w:r>
      <w:r w:rsidR="009D3C5E">
        <w:rPr>
          <w:b w:val="0"/>
        </w:rPr>
        <w:t>.</w:t>
      </w:r>
    </w:p>
    <w:p w:rsidR="00496DB2" w:rsidRDefault="00881B28">
      <w:pPr>
        <w:pStyle w:val="OutHead2"/>
        <w:keepNext/>
      </w:pPr>
      <w:r>
        <w:lastRenderedPageBreak/>
        <w:t>Limitations.</w:t>
      </w:r>
    </w:p>
    <w:p w:rsidR="00496DB2" w:rsidRDefault="00881B28">
      <w:pPr>
        <w:pStyle w:val="OutHead3"/>
      </w:pPr>
      <w:r>
        <w:t>The corporation shall have no capital stock, and no part of its net earnings shall inure to the benefit of any director or officer of the corporation, or of any private shareholder or individual.</w:t>
      </w:r>
      <w:r w:rsidR="0085186F">
        <w:t xml:space="preserve"> </w:t>
      </w:r>
    </w:p>
    <w:p w:rsidR="00496DB2" w:rsidRDefault="00881B28">
      <w:pPr>
        <w:pStyle w:val="OutHead3"/>
      </w:pPr>
      <w:r>
        <w:t>The corporation shall not have as its primary activity participating in, or intervening in (including the publication or distribution of statements) any political campaign on behalf of (or in opposition to) any candidate for public office.</w:t>
      </w:r>
    </w:p>
    <w:p w:rsidR="00863290" w:rsidRDefault="00863290" w:rsidP="00863290">
      <w:pPr>
        <w:pStyle w:val="OutHead3"/>
      </w:pPr>
      <w:r>
        <w:t>No substantial part of the activities of the corporation shall be the carrying on of propaganda, or otherwise attempting to influence legislation, except as may be permitted to Section 501(c)(3) organizations by the Code, and the corporation shall not participate in, or intervene in (including the publication or distribution of statements) any political campaign on behalf of (or in opposition to) any candidate for public office.</w:t>
      </w:r>
    </w:p>
    <w:p w:rsidR="00863290" w:rsidRDefault="00863290" w:rsidP="00863290">
      <w:pPr>
        <w:pStyle w:val="OutHead3"/>
      </w:pPr>
      <w:r>
        <w:t>Notwithstanding any other provisions of these Articles, the corporation shall not conduct or carry on activities not permitted to be conducted or carried on by an organization qualified under Section 501(c)(3) of the Code, or any successor provision, or by an organization contributions to which are deductible under Section 170(c)(2) of the Code, or any successor provision.</w:t>
      </w:r>
    </w:p>
    <w:p w:rsidR="00496DB2" w:rsidRDefault="00881B28">
      <w:pPr>
        <w:pStyle w:val="OutHead2"/>
        <w:rPr>
          <w:b w:val="0"/>
        </w:rPr>
      </w:pPr>
      <w:r>
        <w:t>Powers.</w:t>
      </w:r>
      <w:r>
        <w:rPr>
          <w:b w:val="0"/>
        </w:rPr>
        <w:t xml:space="preserve">  In general, and subject to such limitations and conditions as are or may be prescribed by law, or in the corporation’s Articles of Incorporation or Bylaws, the corporation shall have all powers which now or hereafter are conferred by law upon a corporation organized for the purpose set forth above, or are necessary or incidental to the powers so conferred, or are conducive to the attainment of the corporation’s purpose.</w:t>
      </w:r>
    </w:p>
    <w:p w:rsidR="00496DB2" w:rsidRDefault="00881B28">
      <w:pPr>
        <w:pStyle w:val="OutHead1"/>
      </w:pPr>
      <w:r>
        <w:br/>
        <w:t>Limitation of Directors’ Liability</w:t>
      </w:r>
    </w:p>
    <w:p w:rsidR="00496DB2" w:rsidRDefault="00881B28">
      <w:pPr>
        <w:pStyle w:val="DWTNorm"/>
      </w:pPr>
      <w:r>
        <w:t>A director shall have no liability to the corporation for monetary damages for conduct as a director, except for acts or omissions that involve intentional misconduct by the director, or a knowing violation of law by the director, or for any transaction from which the director will personally receive a benefit in money, property or services to which the director is not legally entitled.  If the Washington Nonprofit Corporation Act is hereafter amended to authorize corporate action further eliminating or limiting the personal liability of directors, then the liability of a director shall be eliminated or limited to the full extent permitted by the Washington Nonprofit Corporation Act, as so amended.  Any repeal or modification of this Article shall not adversely affect any right or protection of a director of the corporation existing at the time of such repeal or modification for or with respect to an act or omission of such director occurring prior to such repeal or modification.</w:t>
      </w:r>
    </w:p>
    <w:p w:rsidR="00496DB2" w:rsidRDefault="00881B28">
      <w:pPr>
        <w:pStyle w:val="OutHead1"/>
      </w:pPr>
      <w:r>
        <w:br/>
        <w:t>Indemnification</w:t>
      </w:r>
    </w:p>
    <w:p w:rsidR="00496DB2" w:rsidRDefault="00881B28">
      <w:pPr>
        <w:pStyle w:val="OutHead2"/>
        <w:rPr>
          <w:b w:val="0"/>
        </w:rPr>
      </w:pPr>
      <w:r>
        <w:t>Right to Indemnification of Directors and Officers.</w:t>
      </w:r>
      <w:r>
        <w:rPr>
          <w:b w:val="0"/>
        </w:rPr>
        <w:t xml:space="preserve">  Each person who was, or is threatened to be made a party to or is otherwise involved (including, without </w:t>
      </w:r>
      <w:r>
        <w:rPr>
          <w:b w:val="0"/>
        </w:rPr>
        <w:lastRenderedPageBreak/>
        <w:t>limitation, as a witness) in any actual or threatened action, suit or proceeding, whether civil, criminal, administrative or investigative, by reason of the fact that he or she is or was a director or officer of the corporation or, while a director or officer, he or she is or was serving at the request of the corporation as a director, trustee, officer, employee or agent of another corporation or of a partnership, joint venture, trust or other enterprise, including service with respect to employee benefit plans, whether the basis of such proceeding is alleged action in an official capacity as a director, trustee, officer, employee or agent or in any other capacity while serving as a director, trustee, officer, employee or agent, shall be indemnified and held harmless by the corporation, to the full extent permitted by applicable law as then in effect, against all expense, liability and loss (including attorneys’ fees, judgments, fines, ERISA excise taxes or penalties and amounts to be paid in settlement) actually and reasonably incurred or suffered by such person in connection therewith, and such indemnification shall continue as to a person who has ceased to be a director, trustee, officer, employee or agent and shall inure to the benefit of his or her heirs, executors and administrators; provided, however, that except as provided in Section 7.2 of this Article with respect to proceedings seeking solely to enforce rights to indemnification, the corporation shall indemnify any such person seeking indemnification in connection with a proceeding (or part thereof) initiated by such person only if such proceeding (or part thereof) was authorized by the board of directors of the corporation.  The right to indemnification conferred in this Section 7.1 shall be a contract right and shall include the right to be paid by the corporation the expenses incurred in defending any such proceeding in advance of its final disposition; provided, however, that the payment of such expenses in advance of the final disposition of a proceeding shall be made only upon delivery to the corporation of an undertaking, by or on behalf of such director or officer, to repay all amounts so advanced if it shall ultimately be determined that such director or officer is not entitled to be indemnified under this Section 7.1 or otherwise.</w:t>
      </w:r>
    </w:p>
    <w:p w:rsidR="00496DB2" w:rsidRDefault="00881B28">
      <w:pPr>
        <w:pStyle w:val="OutHead2"/>
        <w:rPr>
          <w:b w:val="0"/>
        </w:rPr>
      </w:pPr>
      <w:r>
        <w:t>Right of Claimant to Bring Suit.</w:t>
      </w:r>
      <w:r>
        <w:rPr>
          <w:b w:val="0"/>
        </w:rPr>
        <w:t xml:space="preserve">  If a claim for which indemnification is required under Section 7.1 of this Article is not paid in full by the corporation within sixty (60) days after a written claim has been received by the corporation, except in the case of a claim for expenses incurred in defending a proceeding in advance of its final disposition, in which case the applicable period shall be twenty (20) days, the claimant may at any time thereafter bring suit against the corporation to recover the unpaid amount of the claim and, to the extent successful in whole or in part, the claimant shall be entitled to be paid also the expense of prosecuting such claim.  The claimant shall be presumed to be entitled to indemnification under this Article upon submission of a written claim (and, in an action brought to enforce a claim for expenses incurred in defending any proceeding in advance of its final disposition, where the required undertaking has been tendered to the corporation), and thereafter the corporation shall have the burden of proof to overcome the presumption that the claimant is so entitled.  Neither the failure of the corporation (including its board of directors or independent legal counsel) to have made a determination prior to the commencement of such action that indemnification of or reimbursement or advancement of expenses to the claimant is proper in the circumstances nor an actual determination by the corporation (including its board of directors or independent legal counsel) that the claimant is not entitled to indemnification or to the reimbursement or advancement of expenses shall be a defense to the action or create a presumption that the claimant is not so entitled.</w:t>
      </w:r>
    </w:p>
    <w:p w:rsidR="00496DB2" w:rsidRDefault="00881B28">
      <w:pPr>
        <w:pStyle w:val="OutHead2"/>
        <w:rPr>
          <w:b w:val="0"/>
        </w:rPr>
      </w:pPr>
      <w:r>
        <w:lastRenderedPageBreak/>
        <w:t>Nonexclusivity of Rights.</w:t>
      </w:r>
      <w:r>
        <w:rPr>
          <w:b w:val="0"/>
        </w:rPr>
        <w:t xml:space="preserve">  The right to indemnification and the payment of expenses incurred in defending a proceeding in advance of its final disposition conferred in this Article shall not be exclusive of any other right which any person may have or hereafter acquire under any statute, provision of the Articles of Incorporation, Bylaws, agreement, or vote of disinterested directors or otherwise.</w:t>
      </w:r>
    </w:p>
    <w:p w:rsidR="00496DB2" w:rsidRDefault="00881B28">
      <w:pPr>
        <w:pStyle w:val="OutHead2"/>
        <w:rPr>
          <w:b w:val="0"/>
        </w:rPr>
      </w:pPr>
      <w:r>
        <w:t>Insurance, Contracts and Funding.</w:t>
      </w:r>
      <w:r>
        <w:rPr>
          <w:b w:val="0"/>
        </w:rPr>
        <w:t xml:space="preserve">  The corporation may maintain insurance at its expense, to protect itself and any director, trustee, officer, employee or agent of the corporation or another corporation, partnership, joint venture, trust or other enterprise against any expense, liability or loss, whether or not the corporation would have the power to indemnify such person against such expense, liability or loss under RCW 24.03.043 of the Washington Nonprofit Corporation Act and RCW 23B.08.510 of the Washington Business Corporation Act, or any successor provisions.  The corporation may enter into contracts with any director or officer of the corporation in furtherance of the provisions of this Article and may create a trust fund, grant a security interest or use other means (including, without limitation, a letter of credit) to ensure the payment of such amounts as may be necessary to effect indemnification as provided in this Article.</w:t>
      </w:r>
    </w:p>
    <w:p w:rsidR="00496DB2" w:rsidRDefault="00881B28">
      <w:pPr>
        <w:pStyle w:val="OutHead2"/>
        <w:rPr>
          <w:b w:val="0"/>
        </w:rPr>
      </w:pPr>
      <w:r>
        <w:t>Indemnification of Employees and Agents of the Corporation.</w:t>
      </w:r>
      <w:r>
        <w:rPr>
          <w:b w:val="0"/>
        </w:rPr>
        <w:t xml:space="preserve">  The corporation may, by action of its board of directors from time to time, provide indemnification and pay expenses in advance of the final disposition of a proceeding to employees and agents of the corporation with the same scope and effect as the provisions of this Article with respect to the indemnification and advancement of expenses of directors and officers of the corporation or pursuant to rights granted pursuant to, or provided by, the Washington Business Corporation Act, as applied to nonprofit corporations, or otherwise.</w:t>
      </w:r>
    </w:p>
    <w:p w:rsidR="00496DB2" w:rsidRDefault="00881B28">
      <w:pPr>
        <w:pStyle w:val="OutHead1"/>
      </w:pPr>
      <w:r>
        <w:br/>
      </w:r>
      <w:r w:rsidR="00EE7F6B">
        <w:t>TRUSTEES</w:t>
      </w:r>
    </w:p>
    <w:p w:rsidR="00496DB2" w:rsidRDefault="00881B28">
      <w:pPr>
        <w:pStyle w:val="OutHead2"/>
        <w:rPr>
          <w:b w:val="0"/>
        </w:rPr>
      </w:pPr>
      <w:r>
        <w:t xml:space="preserve">Board of </w:t>
      </w:r>
      <w:r w:rsidR="00EE7F6B">
        <w:t>Trustees</w:t>
      </w:r>
      <w:r>
        <w:t>.</w:t>
      </w:r>
      <w:r>
        <w:rPr>
          <w:b w:val="0"/>
        </w:rPr>
        <w:t xml:space="preserve">  The management of the corporation </w:t>
      </w:r>
      <w:r w:rsidR="00EE7F6B">
        <w:rPr>
          <w:b w:val="0"/>
        </w:rPr>
        <w:t>is</w:t>
      </w:r>
      <w:r>
        <w:rPr>
          <w:b w:val="0"/>
        </w:rPr>
        <w:t xml:space="preserve"> vested in a board of no fewer than </w:t>
      </w:r>
      <w:r w:rsidR="00EE7F6B">
        <w:rPr>
          <w:b w:val="0"/>
        </w:rPr>
        <w:t>seven (7</w:t>
      </w:r>
      <w:r>
        <w:rPr>
          <w:b w:val="0"/>
        </w:rPr>
        <w:t>)</w:t>
      </w:r>
      <w:r w:rsidR="00EE7F6B">
        <w:rPr>
          <w:b w:val="0"/>
        </w:rPr>
        <w:t xml:space="preserve"> Trustees</w:t>
      </w:r>
      <w:r>
        <w:rPr>
          <w:b w:val="0"/>
        </w:rPr>
        <w:t xml:space="preserve">.  The number, qualifications, terms of office, manner of election, time and place of meeting, and powers and duties of directors shall be </w:t>
      </w:r>
      <w:r w:rsidR="00EE7F6B">
        <w:rPr>
          <w:b w:val="0"/>
        </w:rPr>
        <w:t xml:space="preserve">as </w:t>
      </w:r>
      <w:r>
        <w:rPr>
          <w:b w:val="0"/>
        </w:rPr>
        <w:t>prescribed by the Bylaws of the corporation.</w:t>
      </w:r>
    </w:p>
    <w:p w:rsidR="00496DB2" w:rsidRDefault="00881B28">
      <w:pPr>
        <w:pStyle w:val="OutHead1"/>
      </w:pPr>
      <w:r>
        <w:br/>
        <w:t>Dissolution</w:t>
      </w:r>
    </w:p>
    <w:p w:rsidR="00496DB2" w:rsidRDefault="00881B28">
      <w:pPr>
        <w:widowControl/>
        <w:spacing w:after="240"/>
        <w:ind w:firstLine="720"/>
        <w:rPr>
          <w:i/>
          <w:sz w:val="22"/>
        </w:rPr>
      </w:pPr>
      <w:r>
        <w:t>Upon dissolution or winding up, all the corporation’s remaining assets</w:t>
      </w:r>
      <w:r w:rsidR="00EE7F6B">
        <w:t xml:space="preserve"> after paying or making provisions for payment of the corporation’s liabilities</w:t>
      </w:r>
      <w:r>
        <w:t xml:space="preserve"> shall be distributed </w:t>
      </w:r>
      <w:r w:rsidR="00A8246C">
        <w:t>to one or more organizations described in Section 501(c)(3) of the Code or any successor provision</w:t>
      </w:r>
      <w:r w:rsidR="003F4E42">
        <w:t>,</w:t>
      </w:r>
      <w:r w:rsidR="00A8246C">
        <w:t xml:space="preserve"> or to the federal government or a state or local government for a public purpose.</w:t>
      </w:r>
    </w:p>
    <w:p w:rsidR="001E49AA" w:rsidRDefault="00FA44EC" w:rsidP="001E49AA">
      <w:pPr>
        <w:pStyle w:val="OutHead1"/>
      </w:pPr>
      <w:r>
        <w:br/>
        <w:t>INCORPORAT</w:t>
      </w:r>
      <w:r w:rsidR="001E49AA">
        <w:t>OR</w:t>
      </w:r>
      <w:r w:rsidR="00EE7F6B">
        <w:t>S</w:t>
      </w:r>
    </w:p>
    <w:p w:rsidR="001E49AA" w:rsidRDefault="001E49AA" w:rsidP="001E49AA">
      <w:pPr>
        <w:widowControl/>
        <w:spacing w:after="240"/>
        <w:ind w:firstLine="720"/>
      </w:pPr>
      <w:r>
        <w:t>The name and address of the incorporator</w:t>
      </w:r>
      <w:r w:rsidR="00EE7F6B">
        <w:t>s</w:t>
      </w:r>
      <w:r>
        <w:t xml:space="preserve"> of the corporation </w:t>
      </w:r>
      <w:r w:rsidR="00EE7F6B">
        <w:t>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590"/>
      </w:tblGrid>
      <w:tr w:rsidR="00EE7F6B" w:rsidRPr="00EE7F6B" w:rsidTr="00EE7F6B">
        <w:trPr>
          <w:jc w:val="center"/>
        </w:trPr>
        <w:tc>
          <w:tcPr>
            <w:tcW w:w="2808" w:type="dxa"/>
          </w:tcPr>
          <w:p w:rsidR="00EE7F6B" w:rsidRPr="00EE7F6B" w:rsidRDefault="00EE7F6B" w:rsidP="001E49AA">
            <w:pPr>
              <w:widowControl/>
              <w:spacing w:after="240"/>
              <w:rPr>
                <w:b/>
                <w:sz w:val="22"/>
              </w:rPr>
            </w:pPr>
            <w:r w:rsidRPr="00EE7F6B">
              <w:rPr>
                <w:b/>
                <w:sz w:val="22"/>
              </w:rPr>
              <w:lastRenderedPageBreak/>
              <w:t>Name</w:t>
            </w:r>
          </w:p>
        </w:tc>
        <w:tc>
          <w:tcPr>
            <w:tcW w:w="4590" w:type="dxa"/>
          </w:tcPr>
          <w:p w:rsidR="00EE7F6B" w:rsidRPr="00EE7F6B" w:rsidRDefault="00EE7F6B" w:rsidP="001E49AA">
            <w:pPr>
              <w:widowControl/>
              <w:spacing w:after="240"/>
              <w:rPr>
                <w:b/>
                <w:sz w:val="22"/>
              </w:rPr>
            </w:pPr>
            <w:r w:rsidRPr="00EE7F6B">
              <w:rPr>
                <w:b/>
                <w:sz w:val="22"/>
              </w:rPr>
              <w:t>Address</w:t>
            </w:r>
          </w:p>
        </w:tc>
      </w:tr>
      <w:tr w:rsidR="00EE7F6B" w:rsidRPr="00EE7F6B" w:rsidTr="00EE7F6B">
        <w:trPr>
          <w:jc w:val="center"/>
        </w:trPr>
        <w:tc>
          <w:tcPr>
            <w:tcW w:w="2808" w:type="dxa"/>
          </w:tcPr>
          <w:p w:rsidR="00EE7F6B" w:rsidRPr="00EE7F6B" w:rsidRDefault="00EE7F6B" w:rsidP="001E49AA">
            <w:pPr>
              <w:widowControl/>
              <w:spacing w:after="240"/>
              <w:rPr>
                <w:sz w:val="22"/>
              </w:rPr>
            </w:pPr>
            <w:r>
              <w:rPr>
                <w:sz w:val="22"/>
              </w:rPr>
              <w:t>Earl Davis</w:t>
            </w:r>
          </w:p>
        </w:tc>
        <w:tc>
          <w:tcPr>
            <w:tcW w:w="4590" w:type="dxa"/>
          </w:tcPr>
          <w:p w:rsidR="00EE7F6B" w:rsidRPr="00EE7F6B" w:rsidRDefault="00EE7F6B" w:rsidP="001E49AA">
            <w:pPr>
              <w:widowControl/>
              <w:spacing w:after="240"/>
              <w:rPr>
                <w:sz w:val="22"/>
              </w:rPr>
            </w:pPr>
            <w:r>
              <w:rPr>
                <w:sz w:val="22"/>
              </w:rPr>
              <w:t>Star Route, Marysville, WA</w:t>
            </w:r>
          </w:p>
        </w:tc>
      </w:tr>
      <w:tr w:rsidR="00EE7F6B" w:rsidRPr="00EE7F6B" w:rsidTr="00EE7F6B">
        <w:trPr>
          <w:jc w:val="center"/>
        </w:trPr>
        <w:tc>
          <w:tcPr>
            <w:tcW w:w="2808" w:type="dxa"/>
          </w:tcPr>
          <w:p w:rsidR="00EE7F6B" w:rsidRPr="00EE7F6B" w:rsidRDefault="00EE7F6B" w:rsidP="001E49AA">
            <w:pPr>
              <w:widowControl/>
              <w:spacing w:after="240"/>
              <w:rPr>
                <w:sz w:val="22"/>
              </w:rPr>
            </w:pPr>
            <w:r>
              <w:rPr>
                <w:sz w:val="22"/>
              </w:rPr>
              <w:t>Charles R. Fisher</w:t>
            </w:r>
          </w:p>
        </w:tc>
        <w:tc>
          <w:tcPr>
            <w:tcW w:w="4590" w:type="dxa"/>
          </w:tcPr>
          <w:p w:rsidR="00EE7F6B" w:rsidRPr="00EE7F6B" w:rsidRDefault="00EE7F6B" w:rsidP="001E49AA">
            <w:pPr>
              <w:widowControl/>
              <w:spacing w:after="240"/>
              <w:rPr>
                <w:sz w:val="22"/>
              </w:rPr>
            </w:pPr>
            <w:r>
              <w:rPr>
                <w:sz w:val="22"/>
              </w:rPr>
              <w:t>Route 1, Box 362, Snohomish, WA</w:t>
            </w:r>
          </w:p>
        </w:tc>
      </w:tr>
      <w:tr w:rsidR="00EE7F6B" w:rsidRPr="00EE7F6B" w:rsidTr="00EE7F6B">
        <w:trPr>
          <w:jc w:val="center"/>
        </w:trPr>
        <w:tc>
          <w:tcPr>
            <w:tcW w:w="2808" w:type="dxa"/>
          </w:tcPr>
          <w:p w:rsidR="00EE7F6B" w:rsidRPr="00EE7F6B" w:rsidRDefault="00EE7F6B" w:rsidP="001E49AA">
            <w:pPr>
              <w:widowControl/>
              <w:spacing w:after="240"/>
              <w:rPr>
                <w:sz w:val="22"/>
              </w:rPr>
            </w:pPr>
            <w:r>
              <w:rPr>
                <w:sz w:val="22"/>
              </w:rPr>
              <w:t>Lee Wicklund</w:t>
            </w:r>
          </w:p>
        </w:tc>
        <w:tc>
          <w:tcPr>
            <w:tcW w:w="4590" w:type="dxa"/>
          </w:tcPr>
          <w:p w:rsidR="00EE7F6B" w:rsidRPr="00EE7F6B" w:rsidRDefault="00EE7F6B" w:rsidP="001E49AA">
            <w:pPr>
              <w:widowControl/>
              <w:spacing w:after="240"/>
              <w:rPr>
                <w:sz w:val="22"/>
              </w:rPr>
            </w:pPr>
            <w:r>
              <w:rPr>
                <w:sz w:val="22"/>
              </w:rPr>
              <w:t>Route 1, Box 523, Snohomish, WA</w:t>
            </w:r>
          </w:p>
        </w:tc>
      </w:tr>
      <w:tr w:rsidR="00EE7F6B" w:rsidRPr="00EE7F6B" w:rsidTr="00EE7F6B">
        <w:trPr>
          <w:jc w:val="center"/>
        </w:trPr>
        <w:tc>
          <w:tcPr>
            <w:tcW w:w="2808" w:type="dxa"/>
          </w:tcPr>
          <w:p w:rsidR="00EE7F6B" w:rsidRPr="00EE7F6B" w:rsidRDefault="00EE7F6B" w:rsidP="001E49AA">
            <w:pPr>
              <w:widowControl/>
              <w:spacing w:after="240"/>
              <w:rPr>
                <w:sz w:val="22"/>
              </w:rPr>
            </w:pPr>
            <w:r>
              <w:rPr>
                <w:sz w:val="22"/>
              </w:rPr>
              <w:t>Glenn T. Mann</w:t>
            </w:r>
          </w:p>
        </w:tc>
        <w:tc>
          <w:tcPr>
            <w:tcW w:w="4590" w:type="dxa"/>
          </w:tcPr>
          <w:p w:rsidR="00EE7F6B" w:rsidRPr="00EE7F6B" w:rsidRDefault="00EE7F6B" w:rsidP="001E49AA">
            <w:pPr>
              <w:widowControl/>
              <w:spacing w:after="240"/>
              <w:rPr>
                <w:sz w:val="22"/>
              </w:rPr>
            </w:pPr>
            <w:r>
              <w:rPr>
                <w:sz w:val="22"/>
              </w:rPr>
              <w:t>1918 198th St. S.W., Alderwood Manor, WA</w:t>
            </w:r>
          </w:p>
        </w:tc>
      </w:tr>
      <w:tr w:rsidR="00EE7F6B" w:rsidRPr="00EE7F6B" w:rsidTr="00EE7F6B">
        <w:trPr>
          <w:jc w:val="center"/>
        </w:trPr>
        <w:tc>
          <w:tcPr>
            <w:tcW w:w="2808" w:type="dxa"/>
          </w:tcPr>
          <w:p w:rsidR="00EE7F6B" w:rsidRDefault="00EE7F6B" w:rsidP="001E49AA">
            <w:pPr>
              <w:widowControl/>
              <w:spacing w:after="240"/>
              <w:rPr>
                <w:sz w:val="22"/>
              </w:rPr>
            </w:pPr>
            <w:r>
              <w:rPr>
                <w:sz w:val="22"/>
              </w:rPr>
              <w:t>James A. Carlson</w:t>
            </w:r>
          </w:p>
        </w:tc>
        <w:tc>
          <w:tcPr>
            <w:tcW w:w="4590" w:type="dxa"/>
          </w:tcPr>
          <w:p w:rsidR="00EE7F6B" w:rsidRDefault="00EE7F6B" w:rsidP="001E49AA">
            <w:pPr>
              <w:widowControl/>
              <w:spacing w:after="240"/>
              <w:rPr>
                <w:sz w:val="22"/>
              </w:rPr>
            </w:pPr>
            <w:r>
              <w:rPr>
                <w:sz w:val="22"/>
              </w:rPr>
              <w:t>911½ Broadway, Everett, WA</w:t>
            </w:r>
          </w:p>
        </w:tc>
      </w:tr>
      <w:tr w:rsidR="00EE7F6B" w:rsidRPr="00EE7F6B" w:rsidTr="00EE7F6B">
        <w:trPr>
          <w:jc w:val="center"/>
        </w:trPr>
        <w:tc>
          <w:tcPr>
            <w:tcW w:w="2808" w:type="dxa"/>
          </w:tcPr>
          <w:p w:rsidR="00EE7F6B" w:rsidRDefault="00EE7F6B" w:rsidP="001E49AA">
            <w:pPr>
              <w:widowControl/>
              <w:spacing w:after="240"/>
              <w:rPr>
                <w:sz w:val="22"/>
              </w:rPr>
            </w:pPr>
            <w:r>
              <w:rPr>
                <w:sz w:val="22"/>
              </w:rPr>
              <w:t>Lloyd Phillips</w:t>
            </w:r>
          </w:p>
        </w:tc>
        <w:tc>
          <w:tcPr>
            <w:tcW w:w="4590" w:type="dxa"/>
          </w:tcPr>
          <w:p w:rsidR="00EE7F6B" w:rsidRDefault="00EE7F6B" w:rsidP="001E49AA">
            <w:pPr>
              <w:widowControl/>
              <w:spacing w:after="240"/>
              <w:rPr>
                <w:sz w:val="22"/>
              </w:rPr>
            </w:pPr>
            <w:r>
              <w:rPr>
                <w:sz w:val="22"/>
              </w:rPr>
              <w:t>8703 48th Dr. N.E., Marysville, WA</w:t>
            </w:r>
          </w:p>
        </w:tc>
      </w:tr>
      <w:tr w:rsidR="00EE7F6B" w:rsidRPr="00EE7F6B" w:rsidTr="00EE7F6B">
        <w:trPr>
          <w:jc w:val="center"/>
        </w:trPr>
        <w:tc>
          <w:tcPr>
            <w:tcW w:w="2808" w:type="dxa"/>
          </w:tcPr>
          <w:p w:rsidR="00EE7F6B" w:rsidRDefault="00EE7F6B" w:rsidP="001E49AA">
            <w:pPr>
              <w:widowControl/>
              <w:spacing w:after="240"/>
              <w:rPr>
                <w:sz w:val="22"/>
              </w:rPr>
            </w:pPr>
            <w:r>
              <w:rPr>
                <w:sz w:val="22"/>
              </w:rPr>
              <w:t>William Hurlbert</w:t>
            </w:r>
          </w:p>
        </w:tc>
        <w:tc>
          <w:tcPr>
            <w:tcW w:w="4590" w:type="dxa"/>
          </w:tcPr>
          <w:p w:rsidR="00EE7F6B" w:rsidRDefault="00EE7F6B" w:rsidP="001E49AA">
            <w:pPr>
              <w:widowControl/>
              <w:spacing w:after="240"/>
              <w:rPr>
                <w:sz w:val="22"/>
              </w:rPr>
            </w:pPr>
            <w:r>
              <w:rPr>
                <w:sz w:val="22"/>
              </w:rPr>
              <w:t>Route 1, Box 380A, Snohomish, WA</w:t>
            </w:r>
          </w:p>
        </w:tc>
      </w:tr>
    </w:tbl>
    <w:p w:rsidR="00EE7F6B" w:rsidRDefault="00EE7F6B" w:rsidP="001E49AA">
      <w:pPr>
        <w:widowControl/>
        <w:spacing w:after="240"/>
        <w:ind w:firstLine="720"/>
        <w:rPr>
          <w:i/>
          <w:sz w:val="22"/>
        </w:rPr>
      </w:pPr>
    </w:p>
    <w:p w:rsidR="003A66EA" w:rsidRDefault="003A66EA">
      <w:pPr>
        <w:widowControl/>
      </w:pPr>
    </w:p>
    <w:p w:rsidR="00496DB2" w:rsidRDefault="00881B28">
      <w:pPr>
        <w:keepNext/>
        <w:widowControl/>
        <w:spacing w:after="720"/>
        <w:ind w:firstLine="720"/>
      </w:pPr>
      <w:r>
        <w:t>IN WITNESS WHEREOF, I h</w:t>
      </w:r>
      <w:r w:rsidR="00EE7F6B">
        <w:t>ave hereunto set my hand this _</w:t>
      </w:r>
      <w:r>
        <w:t>___ day of</w:t>
      </w:r>
      <w:r w:rsidR="00EE7F6B">
        <w:t xml:space="preserve"> _______</w:t>
      </w:r>
      <w:r w:rsidR="002058A7">
        <w:t>, 2013</w:t>
      </w:r>
      <w:r>
        <w:t>.</w:t>
      </w:r>
    </w:p>
    <w:p w:rsidR="00496DB2" w:rsidRDefault="00881B28">
      <w:pPr>
        <w:keepNext/>
        <w:widowControl/>
        <w:tabs>
          <w:tab w:val="left" w:pos="9270"/>
        </w:tabs>
        <w:ind w:firstLine="4320"/>
        <w:rPr>
          <w:u w:val="single"/>
        </w:rPr>
      </w:pPr>
      <w:r>
        <w:rPr>
          <w:u w:val="single"/>
        </w:rPr>
        <w:tab/>
      </w:r>
    </w:p>
    <w:p w:rsidR="00496DB2" w:rsidRDefault="00EE7F6B" w:rsidP="003A66EA">
      <w:pPr>
        <w:widowControl/>
        <w:tabs>
          <w:tab w:val="left" w:pos="9270"/>
        </w:tabs>
        <w:ind w:left="4320"/>
      </w:pPr>
      <w:r>
        <w:t>Ken Lakey</w:t>
      </w:r>
      <w:r w:rsidR="00881B28">
        <w:br/>
      </w:r>
      <w:r w:rsidR="001E49AA">
        <w:t>President</w:t>
      </w:r>
    </w:p>
    <w:sectPr w:rsidR="00496DB2" w:rsidSect="00002ECE">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8AE" w:rsidRDefault="00F778AE">
      <w:r>
        <w:separator/>
      </w:r>
    </w:p>
  </w:endnote>
  <w:endnote w:type="continuationSeparator" w:id="0">
    <w:p w:rsidR="00F778AE" w:rsidRDefault="00F7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DB2" w:rsidRDefault="00A37233">
    <w:pPr>
      <w:pStyle w:val="Footer"/>
      <w:framePr w:wrap="around" w:vAnchor="text" w:hAnchor="margin" w:xAlign="center" w:y="1"/>
      <w:rPr>
        <w:rStyle w:val="PageNumber"/>
      </w:rPr>
    </w:pPr>
    <w:r>
      <w:rPr>
        <w:rStyle w:val="PageNumber"/>
      </w:rPr>
      <w:fldChar w:fldCharType="begin"/>
    </w:r>
    <w:r w:rsidR="00881B28">
      <w:rPr>
        <w:rStyle w:val="PageNumber"/>
      </w:rPr>
      <w:instrText xml:space="preserve">PAGE  </w:instrText>
    </w:r>
    <w:r>
      <w:rPr>
        <w:rStyle w:val="PageNumber"/>
      </w:rPr>
      <w:fldChar w:fldCharType="separate"/>
    </w:r>
    <w:r w:rsidR="00881B28">
      <w:rPr>
        <w:rStyle w:val="PageNumber"/>
        <w:noProof/>
      </w:rPr>
      <w:t>1</w:t>
    </w:r>
    <w:r>
      <w:rPr>
        <w:rStyle w:val="PageNumber"/>
      </w:rPr>
      <w:fldChar w:fldCharType="end"/>
    </w:r>
  </w:p>
  <w:p w:rsidR="00496DB2" w:rsidRDefault="00496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DB2" w:rsidRDefault="00A37233">
    <w:pPr>
      <w:pStyle w:val="Footer"/>
      <w:framePr w:wrap="around" w:vAnchor="text" w:hAnchor="page" w:x="6049" w:y="35"/>
      <w:rPr>
        <w:rStyle w:val="PageNumber"/>
      </w:rPr>
    </w:pPr>
    <w:r>
      <w:rPr>
        <w:rStyle w:val="PageNumber"/>
      </w:rPr>
      <w:fldChar w:fldCharType="begin"/>
    </w:r>
    <w:r w:rsidR="00881B28">
      <w:rPr>
        <w:rStyle w:val="PageNumber"/>
      </w:rPr>
      <w:instrText xml:space="preserve">PAGE  </w:instrText>
    </w:r>
    <w:r>
      <w:rPr>
        <w:rStyle w:val="PageNumber"/>
      </w:rPr>
      <w:fldChar w:fldCharType="separate"/>
    </w:r>
    <w:r w:rsidR="006C6503">
      <w:rPr>
        <w:rStyle w:val="PageNumber"/>
        <w:noProof/>
      </w:rPr>
      <w:t>5</w:t>
    </w:r>
    <w:r>
      <w:rPr>
        <w:rStyle w:val="PageNumber"/>
      </w:rPr>
      <w:fldChar w:fldCharType="end"/>
    </w:r>
  </w:p>
  <w:p w:rsidR="00496DB2" w:rsidRDefault="00496DB2">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DB2" w:rsidRDefault="00496DB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8AE" w:rsidRDefault="00F778AE">
      <w:r>
        <w:separator/>
      </w:r>
    </w:p>
  </w:footnote>
  <w:footnote w:type="continuationSeparator" w:id="0">
    <w:p w:rsidR="00F778AE" w:rsidRDefault="00F7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DB2" w:rsidRDefault="00496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2" w:rsidRDefault="00F13C56">
    <w:pPr>
      <w:pStyle w:val="Header"/>
    </w:pPr>
    <w:r>
      <w:rPr>
        <w:noProof/>
      </w:rPr>
      <mc:AlternateContent>
        <mc:Choice Requires="wps">
          <w:drawing>
            <wp:anchor distT="0" distB="0" distL="114300" distR="114300" simplePos="0" relativeHeight="251657216" behindDoc="1" locked="0" layoutInCell="0" allowOverlap="1">
              <wp:simplePos x="0" y="0"/>
              <wp:positionH relativeFrom="margin">
                <wp:posOffset>505460</wp:posOffset>
              </wp:positionH>
              <wp:positionV relativeFrom="margin">
                <wp:posOffset>2695575</wp:posOffset>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3C56" w:rsidRDefault="00F13C56" w:rsidP="00F13C5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39.8pt;margin-top:212.25pt;width:412.4pt;height:247.45pt;rotation:-45;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" o:allowincell="f" filled="f" stroked="f">
              <v:stroke joinstyle="round"/>
              <o:lock v:ext="edit" shapetype="t"/>
              <v:textbox style="mso-fit-shape-to-text:t">
                <w:txbxContent>
                  <w:p w:rsidR="00F13C56" w:rsidRDefault="00F13C56" w:rsidP="00F13C5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89C36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415EBE"/>
    <w:multiLevelType w:val="multilevel"/>
    <w:tmpl w:val="FD1CCC1A"/>
    <w:lvl w:ilvl="0">
      <w:start w:val="1"/>
      <w:numFmt w:val="upperRoman"/>
      <w:pStyle w:val="OutHead1"/>
      <w:suff w:val="nothing"/>
      <w:lvlText w:val="ARTICLE %1"/>
      <w:lvlJc w:val="left"/>
      <w:pPr>
        <w:ind w:left="0" w:firstLine="0"/>
      </w:pPr>
      <w:rPr>
        <w:rFonts w:ascii="Times New Roman" w:hAnsi="Times New Roman" w:hint="default"/>
        <w:b/>
        <w:i w:val="0"/>
        <w:caps/>
        <w:smallCaps w:val="0"/>
        <w:strike w:val="0"/>
        <w:dstrike w:val="0"/>
        <w:vanish w:val="0"/>
        <w:color w:val="000000"/>
        <w:sz w:val="24"/>
        <w:u w:val="none"/>
        <w:effect w:val="none"/>
        <w:vertAlign w:val="baseline"/>
      </w:rPr>
    </w:lvl>
    <w:lvl w:ilvl="1">
      <w:start w:val="1"/>
      <w:numFmt w:val="decimal"/>
      <w:pStyle w:val="OutHead2"/>
      <w:isLgl/>
      <w:lvlText w:val="Section %1.%2"/>
      <w:lvlJc w:val="left"/>
      <w:pPr>
        <w:tabs>
          <w:tab w:val="num" w:pos="2160"/>
        </w:tabs>
        <w:ind w:left="0" w:firstLine="720"/>
      </w:pPr>
      <w:rPr>
        <w:rFonts w:ascii="Times New Roman" w:hAnsi="Times New Roman" w:hint="default"/>
        <w:b/>
        <w:i w:val="0"/>
        <w:caps w:val="0"/>
        <w:strike w:val="0"/>
        <w:dstrike w:val="0"/>
        <w:vanish w:val="0"/>
        <w:color w:val="000000"/>
        <w:sz w:val="24"/>
        <w:u w:val="none"/>
        <w:effect w:val="none"/>
        <w:vertAlign w:val="baseline"/>
      </w:rPr>
    </w:lvl>
    <w:lvl w:ilvl="2">
      <w:start w:val="1"/>
      <w:numFmt w:val="decimal"/>
      <w:pStyle w:val="OutHead3"/>
      <w:isLgl/>
      <w:lvlText w:val="%1.%2.%3"/>
      <w:lvlJc w:val="left"/>
      <w:pPr>
        <w:tabs>
          <w:tab w:val="num" w:pos="2160"/>
        </w:tabs>
        <w:ind w:left="0" w:firstLine="1440"/>
      </w:pPr>
      <w:rPr>
        <w:rFonts w:ascii="Times New Roman" w:hAnsi="Times New Roman" w:hint="default"/>
        <w:b w:val="0"/>
        <w:i w:val="0"/>
        <w:caps w:val="0"/>
        <w:strike w:val="0"/>
        <w:dstrike w:val="0"/>
        <w:vanish w:val="0"/>
        <w:color w:val="000000"/>
        <w:sz w:val="24"/>
        <w:u w:val="none"/>
        <w:effect w:val="none"/>
        <w:vertAlign w:val="baseline"/>
      </w:rPr>
    </w:lvl>
    <w:lvl w:ilvl="3">
      <w:start w:val="1"/>
      <w:numFmt w:val="lowerLetter"/>
      <w:pStyle w:val="OutHead4"/>
      <w:lvlText w:val="(%4)"/>
      <w:lvlJc w:val="left"/>
      <w:pPr>
        <w:tabs>
          <w:tab w:val="num" w:pos="2880"/>
        </w:tabs>
        <w:ind w:left="0" w:firstLine="2160"/>
      </w:pPr>
      <w:rPr>
        <w:rFonts w:ascii="Times New Roman" w:hAnsi="Times New Roman" w:hint="default"/>
        <w:b w:val="0"/>
        <w:i w:val="0"/>
        <w:caps w:val="0"/>
        <w:smallCaps w:val="0"/>
        <w:strike w:val="0"/>
        <w:dstrike w:val="0"/>
        <w:vanish w:val="0"/>
        <w:color w:val="000000"/>
        <w:sz w:val="24"/>
        <w:u w:val="none"/>
        <w:effect w:val="none"/>
        <w:vertAlign w:val="baseline"/>
      </w:rPr>
    </w:lvl>
    <w:lvl w:ilvl="4">
      <w:start w:val="1"/>
      <w:numFmt w:val="lowerRoman"/>
      <w:pStyle w:val="OutHead5"/>
      <w:lvlText w:val="%5."/>
      <w:lvlJc w:val="left"/>
      <w:pPr>
        <w:tabs>
          <w:tab w:val="num" w:pos="3600"/>
        </w:tabs>
        <w:ind w:left="0" w:firstLine="2880"/>
      </w:pPr>
      <w:rPr>
        <w:rFonts w:ascii="Times New Roman" w:hAnsi="Times New Roman" w:hint="default"/>
        <w:b/>
        <w:i w:val="0"/>
        <w:caps w:val="0"/>
        <w:smallCaps w:val="0"/>
        <w:strike w:val="0"/>
        <w:dstrike w:val="0"/>
        <w:vanish w:val="0"/>
        <w:color w:val="000000"/>
        <w:sz w:val="24"/>
        <w:u w:val="none"/>
        <w:effect w:val="none"/>
        <w:vertAlign w:val="baseline"/>
      </w:rPr>
    </w:lvl>
    <w:lvl w:ilvl="5">
      <w:start w:val="1"/>
      <w:numFmt w:val="decimal"/>
      <w:pStyle w:val="OutHead6"/>
      <w:lvlText w:val="(%6)"/>
      <w:lvlJc w:val="left"/>
      <w:pPr>
        <w:tabs>
          <w:tab w:val="num" w:pos="4320"/>
        </w:tabs>
        <w:ind w:left="0" w:firstLine="3600"/>
      </w:pPr>
      <w:rPr>
        <w:rFonts w:ascii="Times New Roman" w:hAnsi="Times New Roman" w:hint="default"/>
        <w:b/>
        <w:i w:val="0"/>
        <w:caps w:val="0"/>
        <w:smallCaps w:val="0"/>
        <w:strike w:val="0"/>
        <w:dstrike w:val="0"/>
        <w:vanish w:val="0"/>
        <w:color w:val="000000"/>
        <w:sz w:val="24"/>
        <w:u w:val="none"/>
        <w:effect w:val="none"/>
        <w:vertAlign w:val="baseline"/>
      </w:rPr>
    </w:lvl>
    <w:lvl w:ilvl="6">
      <w:start w:val="1"/>
      <w:numFmt w:val="lowerLetter"/>
      <w:pStyle w:val="OutHead7"/>
      <w:lvlText w:val="%7."/>
      <w:lvlJc w:val="left"/>
      <w:pPr>
        <w:tabs>
          <w:tab w:val="num" w:pos="5040"/>
        </w:tabs>
        <w:ind w:left="0" w:firstLine="4320"/>
      </w:pPr>
      <w:rPr>
        <w:rFonts w:ascii="Times New Roman" w:hAnsi="Times New Roman" w:hint="default"/>
        <w:b/>
        <w:i w:val="0"/>
        <w:caps w:val="0"/>
        <w:smallCaps w:val="0"/>
        <w:strike w:val="0"/>
        <w:dstrike w:val="0"/>
        <w:vanish w:val="0"/>
        <w:color w:val="000000"/>
        <w:sz w:val="24"/>
        <w:u w:val="none"/>
        <w:effect w:val="none"/>
        <w:vertAlign w:val="baseline"/>
      </w:rPr>
    </w:lvl>
    <w:lvl w:ilvl="7">
      <w:start w:val="1"/>
      <w:numFmt w:val="lowerRoman"/>
      <w:pStyle w:val="OutHead8"/>
      <w:lvlText w:val="(%8)"/>
      <w:lvlJc w:val="left"/>
      <w:pPr>
        <w:tabs>
          <w:tab w:val="num" w:pos="5760"/>
        </w:tabs>
        <w:ind w:left="0" w:firstLine="5040"/>
      </w:pPr>
      <w:rPr>
        <w:rFonts w:ascii="Times New Roman" w:hAnsi="Times New Roman" w:hint="default"/>
        <w:b/>
        <w:i w:val="0"/>
        <w:caps w:val="0"/>
        <w:smallCaps w:val="0"/>
        <w:strike w:val="0"/>
        <w:dstrike w:val="0"/>
        <w:vanish w:val="0"/>
        <w:color w:val="000000"/>
        <w:sz w:val="24"/>
        <w:u w:val="none"/>
        <w:effect w:val="none"/>
        <w:vertAlign w:val="baseline"/>
      </w:rPr>
    </w:lvl>
    <w:lvl w:ilvl="8">
      <w:start w:val="1"/>
      <w:numFmt w:val="lowerRoman"/>
      <w:lvlText w:val="(%9)"/>
      <w:lvlJc w:val="left"/>
      <w:pPr>
        <w:tabs>
          <w:tab w:val="num" w:pos="6480"/>
        </w:tabs>
        <w:ind w:left="5760" w:firstLine="0"/>
      </w:pPr>
      <w:rPr>
        <w:rFonts w:hint="default"/>
      </w:rPr>
    </w:lvl>
  </w:abstractNum>
  <w:abstractNum w:abstractNumId="2" w15:restartNumberingAfterBreak="0">
    <w:nsid w:val="7C25718E"/>
    <w:multiLevelType w:val="hybridMultilevel"/>
    <w:tmpl w:val="A1EEB868"/>
    <w:lvl w:ilvl="0" w:tplc="9904B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B2"/>
    <w:rsid w:val="00002ECE"/>
    <w:rsid w:val="00017A03"/>
    <w:rsid w:val="00025806"/>
    <w:rsid w:val="000E3587"/>
    <w:rsid w:val="000E7638"/>
    <w:rsid w:val="001053E7"/>
    <w:rsid w:val="00123E8D"/>
    <w:rsid w:val="00137FC5"/>
    <w:rsid w:val="00150B99"/>
    <w:rsid w:val="001B7ECA"/>
    <w:rsid w:val="001E49AA"/>
    <w:rsid w:val="002058A7"/>
    <w:rsid w:val="00225438"/>
    <w:rsid w:val="00240F14"/>
    <w:rsid w:val="002755DE"/>
    <w:rsid w:val="002D0EA6"/>
    <w:rsid w:val="00362CE6"/>
    <w:rsid w:val="00371C9D"/>
    <w:rsid w:val="003A66EA"/>
    <w:rsid w:val="003B4D5D"/>
    <w:rsid w:val="003D2F84"/>
    <w:rsid w:val="003F2FAB"/>
    <w:rsid w:val="003F4E42"/>
    <w:rsid w:val="00431D6A"/>
    <w:rsid w:val="00434F57"/>
    <w:rsid w:val="004531AD"/>
    <w:rsid w:val="00467CB4"/>
    <w:rsid w:val="00496DB2"/>
    <w:rsid w:val="004C40C9"/>
    <w:rsid w:val="004C62A6"/>
    <w:rsid w:val="004F5B0E"/>
    <w:rsid w:val="00501CB1"/>
    <w:rsid w:val="00501FFC"/>
    <w:rsid w:val="00532660"/>
    <w:rsid w:val="00582183"/>
    <w:rsid w:val="00597152"/>
    <w:rsid w:val="00642FDD"/>
    <w:rsid w:val="006C6503"/>
    <w:rsid w:val="007561E8"/>
    <w:rsid w:val="00814907"/>
    <w:rsid w:val="008162C9"/>
    <w:rsid w:val="0085186F"/>
    <w:rsid w:val="00863290"/>
    <w:rsid w:val="00881B28"/>
    <w:rsid w:val="008D1A53"/>
    <w:rsid w:val="00921F46"/>
    <w:rsid w:val="00936131"/>
    <w:rsid w:val="00944320"/>
    <w:rsid w:val="00954691"/>
    <w:rsid w:val="009D3C5E"/>
    <w:rsid w:val="00A07815"/>
    <w:rsid w:val="00A37233"/>
    <w:rsid w:val="00A419D9"/>
    <w:rsid w:val="00A43862"/>
    <w:rsid w:val="00A769E5"/>
    <w:rsid w:val="00A8246C"/>
    <w:rsid w:val="00AA7D05"/>
    <w:rsid w:val="00B14742"/>
    <w:rsid w:val="00B54F84"/>
    <w:rsid w:val="00B975E4"/>
    <w:rsid w:val="00BB31C0"/>
    <w:rsid w:val="00C11010"/>
    <w:rsid w:val="00C4562D"/>
    <w:rsid w:val="00CC6A02"/>
    <w:rsid w:val="00D44094"/>
    <w:rsid w:val="00E135EC"/>
    <w:rsid w:val="00E71019"/>
    <w:rsid w:val="00EE6B29"/>
    <w:rsid w:val="00EE7F6B"/>
    <w:rsid w:val="00F1394B"/>
    <w:rsid w:val="00F13C56"/>
    <w:rsid w:val="00F64409"/>
    <w:rsid w:val="00F778AE"/>
    <w:rsid w:val="00F97E35"/>
    <w:rsid w:val="00FA44EC"/>
    <w:rsid w:val="00FA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FA868F-041B-4304-8BD1-2E21BBAA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Body"/>
    <w:qFormat/>
    <w:pPr>
      <w:keepNext/>
      <w:jc w:val="center"/>
      <w:outlineLvl w:val="0"/>
    </w:pPr>
    <w:rPr>
      <w:caps/>
    </w:rPr>
  </w:style>
  <w:style w:type="paragraph" w:styleId="Heading2">
    <w:name w:val="heading 2"/>
    <w:basedOn w:val="Normal"/>
    <w:next w:val="Body"/>
    <w:qFormat/>
    <w:pPr>
      <w:keepNext/>
      <w:outlineLvl w:val="1"/>
    </w:pPr>
    <w:rPr>
      <w:caps/>
    </w:rPr>
  </w:style>
  <w:style w:type="paragraph" w:styleId="Heading3">
    <w:name w:val="heading 3"/>
    <w:basedOn w:val="Normal"/>
    <w:next w:val="Body"/>
    <w:qFormat/>
    <w:pPr>
      <w:keepNext/>
      <w:ind w:left="720"/>
      <w:outlineLvl w:val="2"/>
    </w:pPr>
  </w:style>
  <w:style w:type="paragraph" w:styleId="Heading4">
    <w:name w:val="heading 4"/>
    <w:basedOn w:val="Normal"/>
    <w:next w:val="Body"/>
    <w:qFormat/>
    <w:pPr>
      <w:keepNext/>
      <w:ind w:left="1440"/>
      <w:outlineLvl w:val="3"/>
    </w:pPr>
  </w:style>
  <w:style w:type="paragraph" w:styleId="Heading5">
    <w:name w:val="heading 5"/>
    <w:basedOn w:val="Normal"/>
    <w:next w:val="Body"/>
    <w:qFormat/>
    <w:pPr>
      <w:keepNext/>
      <w:ind w:left="2160"/>
      <w:outlineLvl w:val="4"/>
    </w:pPr>
  </w:style>
  <w:style w:type="paragraph" w:styleId="Heading6">
    <w:name w:val="heading 6"/>
    <w:basedOn w:val="Normal"/>
    <w:next w:val="Normal"/>
    <w:qFormat/>
    <w:pPr>
      <w:keepNext/>
      <w:ind w:left="288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TNorm">
    <w:name w:val="DWTNorm"/>
    <w:basedOn w:val="Normal"/>
    <w:pPr>
      <w:widowControl/>
      <w:spacing w:after="240"/>
      <w:ind w:firstLine="720"/>
    </w:pPr>
  </w:style>
  <w:style w:type="paragraph" w:customStyle="1" w:styleId="AfterQuote">
    <w:name w:val="AfterQuote"/>
    <w:basedOn w:val="DWTNorm"/>
    <w:next w:val="DWTNorm"/>
    <w:pPr>
      <w:ind w:firstLine="0"/>
    </w:pPr>
  </w:style>
  <w:style w:type="paragraph" w:customStyle="1" w:styleId="Body">
    <w:name w:val="Body"/>
    <w:basedOn w:val="Normal"/>
    <w:pPr>
      <w:spacing w:line="480" w:lineRule="exact"/>
      <w:ind w:firstLine="720"/>
    </w:pPr>
  </w:style>
  <w:style w:type="paragraph" w:styleId="BodyTextIndent">
    <w:name w:val="Body Text Indent"/>
    <w:basedOn w:val="Normal"/>
    <w:pPr>
      <w:spacing w:after="120"/>
      <w:ind w:left="360"/>
    </w:pPr>
  </w:style>
  <w:style w:type="paragraph" w:customStyle="1" w:styleId="Citation">
    <w:name w:val="Citation"/>
    <w:basedOn w:val="Body"/>
    <w:pPr>
      <w:spacing w:before="240" w:line="240" w:lineRule="exact"/>
      <w:ind w:left="720" w:right="720" w:firstLine="0"/>
    </w:pPr>
  </w:style>
  <w:style w:type="paragraph" w:customStyle="1" w:styleId="Closed">
    <w:name w:val="Closed"/>
    <w:basedOn w:val="Normal"/>
  </w:style>
  <w:style w:type="character" w:styleId="CommentReference">
    <w:name w:val="annotation reference"/>
    <w:semiHidden/>
    <w:rPr>
      <w:rFonts w:ascii="Times New Roman" w:hAnsi="Times New Roman"/>
      <w:sz w:val="16"/>
    </w:rPr>
  </w:style>
  <w:style w:type="paragraph" w:styleId="CommentText">
    <w:name w:val="annotation text"/>
    <w:basedOn w:val="Normal"/>
    <w:link w:val="CommentTextChar"/>
    <w:semiHidden/>
  </w:style>
  <w:style w:type="paragraph" w:customStyle="1" w:styleId="CopyList">
    <w:name w:val="CopyList"/>
    <w:basedOn w:val="Normal"/>
    <w:pPr>
      <w:tabs>
        <w:tab w:val="left" w:pos="504"/>
        <w:tab w:val="left" w:pos="2160"/>
      </w:tabs>
    </w:pPr>
  </w:style>
  <w:style w:type="paragraph" w:styleId="Date">
    <w:name w:val="Date"/>
    <w:basedOn w:val="Normal"/>
    <w:next w:val="Normal"/>
  </w:style>
  <w:style w:type="paragraph" w:customStyle="1" w:styleId="DWTQuote">
    <w:name w:val="DWTQuote"/>
    <w:basedOn w:val="DWTNorm"/>
    <w:next w:val="AfterQuote"/>
    <w:pPr>
      <w:ind w:left="1440" w:right="1440" w:firstLine="0"/>
    </w:pPr>
  </w:style>
  <w:style w:type="paragraph" w:customStyle="1" w:styleId="DWTTitle">
    <w:name w:val="DWTTitle"/>
    <w:basedOn w:val="Normal"/>
    <w:next w:val="DWTNorm"/>
    <w:pPr>
      <w:keepNext/>
      <w:spacing w:after="240"/>
      <w:jc w:val="center"/>
    </w:pPr>
    <w:rPr>
      <w:b/>
      <w:caps/>
    </w:rPr>
  </w:style>
  <w:style w:type="character" w:styleId="Emphasis">
    <w:name w:val="Emphasis"/>
    <w:qFormat/>
    <w:rPr>
      <w:rFonts w:ascii="Times New Roman" w:hAnsi="Times New Roman"/>
    </w:rPr>
  </w:style>
  <w:style w:type="character" w:styleId="EndnoteReference">
    <w:name w:val="endnote reference"/>
    <w:semiHidden/>
    <w:rPr>
      <w:rFonts w:ascii="Times New Roman" w:hAnsi="Times New Roman"/>
      <w:vertAlign w:val="superscript"/>
    </w:rPr>
  </w:style>
  <w:style w:type="paragraph" w:styleId="EndnoteText">
    <w:name w:val="endnote text"/>
    <w:basedOn w:val="Normal"/>
    <w:semiHidden/>
  </w:style>
  <w:style w:type="character" w:styleId="FollowedHyperlink">
    <w:name w:val="FollowedHyperlink"/>
    <w:rPr>
      <w:rFonts w:ascii="Times New Roman" w:hAnsi="Times New Roman"/>
      <w:color w:val="800080"/>
      <w:u w:val="single"/>
    </w:rPr>
  </w:style>
  <w:style w:type="paragraph" w:styleId="Footer">
    <w:name w:val="footer"/>
    <w:basedOn w:val="Normal"/>
    <w:pPr>
      <w:tabs>
        <w:tab w:val="center" w:pos="4680"/>
        <w:tab w:val="right" w:pos="9360"/>
      </w:tabs>
    </w:pPr>
  </w:style>
  <w:style w:type="character" w:styleId="FootnoteReference">
    <w:name w:val="footnote reference"/>
    <w:semiHidden/>
    <w:rPr>
      <w:rFonts w:ascii="Times New Roman" w:hAnsi="Times New Roman"/>
      <w:vertAlign w:val="superscript"/>
    </w:rPr>
  </w:style>
  <w:style w:type="paragraph" w:styleId="FootnoteText">
    <w:name w:val="footnote text"/>
    <w:basedOn w:val="Normal"/>
    <w:semiHidden/>
  </w:style>
  <w:style w:type="paragraph" w:customStyle="1" w:styleId="From">
    <w:name w:val="From"/>
    <w:basedOn w:val="Normal"/>
  </w:style>
  <w:style w:type="paragraph" w:styleId="Header">
    <w:name w:val="header"/>
    <w:basedOn w:val="Normal"/>
    <w:pPr>
      <w:tabs>
        <w:tab w:val="center" w:pos="4680"/>
        <w:tab w:val="right" w:pos="9360"/>
      </w:tabs>
    </w:pPr>
  </w:style>
  <w:style w:type="character" w:styleId="Hyperlink">
    <w:name w:val="Hyperlink"/>
    <w:rPr>
      <w:rFonts w:ascii="Times New Roman" w:hAnsi="Times New Roman"/>
      <w:color w:val="0000FF"/>
      <w:u w:val="single"/>
    </w:rPr>
  </w:style>
  <w:style w:type="paragraph" w:customStyle="1" w:styleId="Indented">
    <w:name w:val="Indented"/>
    <w:basedOn w:val="Normal"/>
    <w:next w:val="Body"/>
    <w:pPr>
      <w:ind w:left="720"/>
    </w:pPr>
  </w:style>
  <w:style w:type="paragraph" w:styleId="Index1">
    <w:name w:val="index 1"/>
    <w:basedOn w:val="Normal"/>
    <w:next w:val="Normal"/>
    <w:autoRedefine/>
    <w:semiHidden/>
    <w:pPr>
      <w:spacing w:before="240"/>
    </w:pPr>
  </w:style>
  <w:style w:type="paragraph" w:styleId="Index2">
    <w:name w:val="index 2"/>
    <w:basedOn w:val="Normal"/>
    <w:next w:val="Normal"/>
    <w:autoRedefine/>
    <w:semiHidden/>
    <w:pPr>
      <w:tabs>
        <w:tab w:val="right" w:leader="dot" w:pos="8640"/>
      </w:tabs>
    </w:pPr>
  </w:style>
  <w:style w:type="character" w:styleId="LineNumber">
    <w:name w:val="line number"/>
    <w:rPr>
      <w:rFonts w:ascii="Times New Roman" w:hAnsi="Times New Roman"/>
    </w:rPr>
  </w:style>
  <w:style w:type="paragraph" w:styleId="List">
    <w:name w:val="List"/>
    <w:basedOn w:val="Normal"/>
    <w:pPr>
      <w:ind w:left="720" w:hanging="360"/>
    </w:pPr>
  </w:style>
  <w:style w:type="paragraph" w:styleId="NormalIndent">
    <w:name w:val="Normal Indent"/>
    <w:basedOn w:val="Normal"/>
    <w:next w:val="Normal"/>
    <w:pPr>
      <w:ind w:left="720"/>
    </w:pPr>
  </w:style>
  <w:style w:type="paragraph" w:customStyle="1" w:styleId="OutHead1">
    <w:name w:val="OutHead1"/>
    <w:basedOn w:val="Normal"/>
    <w:next w:val="DWTNorm"/>
    <w:uiPriority w:val="99"/>
    <w:pPr>
      <w:keepNext/>
      <w:widowControl/>
      <w:numPr>
        <w:numId w:val="1"/>
      </w:numPr>
      <w:spacing w:after="240"/>
      <w:jc w:val="center"/>
      <w:outlineLvl w:val="0"/>
    </w:pPr>
    <w:rPr>
      <w:b/>
      <w:caps/>
      <w:color w:val="000000"/>
    </w:rPr>
  </w:style>
  <w:style w:type="paragraph" w:customStyle="1" w:styleId="OutHead2">
    <w:name w:val="OutHead2"/>
    <w:basedOn w:val="OutHead3"/>
    <w:next w:val="DWTNorm"/>
    <w:uiPriority w:val="99"/>
    <w:pPr>
      <w:numPr>
        <w:ilvl w:val="1"/>
      </w:numPr>
      <w:outlineLvl w:val="1"/>
    </w:pPr>
    <w:rPr>
      <w:b/>
    </w:rPr>
  </w:style>
  <w:style w:type="paragraph" w:customStyle="1" w:styleId="OutHead3">
    <w:name w:val="OutHead3"/>
    <w:basedOn w:val="Normal"/>
    <w:next w:val="DWTNorm"/>
    <w:uiPriority w:val="99"/>
    <w:pPr>
      <w:widowControl/>
      <w:numPr>
        <w:ilvl w:val="2"/>
        <w:numId w:val="1"/>
      </w:numPr>
      <w:spacing w:after="240"/>
      <w:outlineLvl w:val="2"/>
    </w:pPr>
    <w:rPr>
      <w:color w:val="000000"/>
    </w:rPr>
  </w:style>
  <w:style w:type="paragraph" w:customStyle="1" w:styleId="OutHead4">
    <w:name w:val="OutHead4"/>
    <w:basedOn w:val="Normal"/>
    <w:next w:val="DWTNorm"/>
    <w:uiPriority w:val="99"/>
    <w:pPr>
      <w:keepNext/>
      <w:widowControl/>
      <w:numPr>
        <w:ilvl w:val="3"/>
        <w:numId w:val="1"/>
      </w:numPr>
      <w:spacing w:after="240"/>
      <w:outlineLvl w:val="3"/>
    </w:pPr>
    <w:rPr>
      <w:color w:val="000000"/>
    </w:rPr>
  </w:style>
  <w:style w:type="paragraph" w:customStyle="1" w:styleId="OutHead5">
    <w:name w:val="OutHead5"/>
    <w:basedOn w:val="Normal"/>
    <w:next w:val="DWTNorm"/>
    <w:uiPriority w:val="99"/>
    <w:pPr>
      <w:keepNext/>
      <w:widowControl/>
      <w:numPr>
        <w:ilvl w:val="4"/>
        <w:numId w:val="1"/>
      </w:numPr>
      <w:spacing w:after="240"/>
      <w:outlineLvl w:val="4"/>
    </w:pPr>
    <w:rPr>
      <w:b/>
      <w:color w:val="000000"/>
    </w:rPr>
  </w:style>
  <w:style w:type="paragraph" w:customStyle="1" w:styleId="OutHead6">
    <w:name w:val="OutHead6"/>
    <w:basedOn w:val="Normal"/>
    <w:next w:val="DWTNorm"/>
    <w:uiPriority w:val="99"/>
    <w:pPr>
      <w:keepNext/>
      <w:widowControl/>
      <w:numPr>
        <w:ilvl w:val="5"/>
        <w:numId w:val="1"/>
      </w:numPr>
      <w:spacing w:after="240"/>
      <w:outlineLvl w:val="5"/>
    </w:pPr>
    <w:rPr>
      <w:b/>
      <w:color w:val="000000"/>
    </w:rPr>
  </w:style>
  <w:style w:type="paragraph" w:customStyle="1" w:styleId="OutHead7">
    <w:name w:val="OutHead7"/>
    <w:basedOn w:val="Normal"/>
    <w:next w:val="DWTNorm"/>
    <w:uiPriority w:val="99"/>
    <w:pPr>
      <w:keepNext/>
      <w:widowControl/>
      <w:numPr>
        <w:ilvl w:val="6"/>
        <w:numId w:val="1"/>
      </w:numPr>
      <w:spacing w:after="240"/>
      <w:outlineLvl w:val="6"/>
    </w:pPr>
    <w:rPr>
      <w:b/>
      <w:color w:val="000000"/>
    </w:rPr>
  </w:style>
  <w:style w:type="paragraph" w:customStyle="1" w:styleId="OutHead8">
    <w:name w:val="OutHead8"/>
    <w:basedOn w:val="Normal"/>
    <w:next w:val="DWTNorm"/>
    <w:uiPriority w:val="99"/>
    <w:pPr>
      <w:keepNext/>
      <w:widowControl/>
      <w:numPr>
        <w:ilvl w:val="7"/>
        <w:numId w:val="1"/>
      </w:numPr>
      <w:spacing w:after="240"/>
      <w:outlineLvl w:val="7"/>
    </w:pPr>
    <w:rPr>
      <w:b/>
      <w:color w:val="000000"/>
    </w:rPr>
  </w:style>
  <w:style w:type="character" w:styleId="PageNumber">
    <w:name w:val="page number"/>
    <w:rPr>
      <w:rFonts w:ascii="Times New Roman" w:hAnsi="Times New Roman"/>
    </w:rPr>
  </w:style>
  <w:style w:type="paragraph" w:styleId="PlainText">
    <w:name w:val="Plain Text"/>
    <w:basedOn w:val="Normal"/>
    <w:rPr>
      <w:sz w:val="20"/>
    </w:rPr>
  </w:style>
  <w:style w:type="paragraph" w:styleId="Signature">
    <w:name w:val="Signature"/>
    <w:basedOn w:val="Normal"/>
    <w:pPr>
      <w:keepLines/>
      <w:ind w:left="4320"/>
    </w:pPr>
  </w:style>
  <w:style w:type="paragraph" w:customStyle="1" w:styleId="Subject">
    <w:name w:val="Subject"/>
    <w:basedOn w:val="Normal"/>
  </w:style>
  <w:style w:type="paragraph" w:customStyle="1" w:styleId="SubList">
    <w:name w:val="SubList"/>
    <w:basedOn w:val="List"/>
    <w:pPr>
      <w:ind w:left="1440"/>
    </w:pPr>
  </w:style>
  <w:style w:type="paragraph" w:styleId="Subtitle">
    <w:name w:val="Subtitle"/>
    <w:basedOn w:val="Normal"/>
    <w:qFormat/>
    <w:pPr>
      <w:spacing w:after="60"/>
      <w:jc w:val="center"/>
      <w:outlineLvl w:val="1"/>
    </w:pPr>
    <w:rPr>
      <w:rFonts w:ascii="Arial" w:hAnsi="Arial"/>
    </w:rPr>
  </w:style>
  <w:style w:type="paragraph" w:customStyle="1" w:styleId="Table">
    <w:name w:val="Table"/>
    <w:basedOn w:val="Normal"/>
    <w:pPr>
      <w:tabs>
        <w:tab w:val="left" w:pos="1440"/>
      </w:tabs>
      <w:spacing w:line="480" w:lineRule="atLeast"/>
    </w:pPr>
  </w:style>
  <w:style w:type="paragraph" w:customStyle="1" w:styleId="Table2">
    <w:name w:val="Table2"/>
    <w:basedOn w:val="Normal"/>
    <w:pPr>
      <w:spacing w:before="120"/>
      <w:ind w:left="720"/>
    </w:pPr>
  </w:style>
  <w:style w:type="paragraph" w:styleId="Title">
    <w:name w:val="Title"/>
    <w:basedOn w:val="Normal"/>
    <w:qFormat/>
    <w:pPr>
      <w:spacing w:before="240" w:after="60"/>
      <w:jc w:val="center"/>
      <w:outlineLvl w:val="0"/>
    </w:pPr>
    <w:rPr>
      <w:rFonts w:ascii="Arial" w:hAnsi="Arial"/>
      <w:b/>
      <w:kern w:val="28"/>
      <w:sz w:val="32"/>
    </w:rPr>
  </w:style>
  <w:style w:type="character" w:customStyle="1" w:styleId="zDocID">
    <w:name w:val="zDocID"/>
    <w:rPr>
      <w:rFonts w:ascii="Times New Roman" w:hAnsi="Times New Roman" w:cs="Times New Roman"/>
      <w:b w:val="0"/>
      <w:i w:val="0"/>
      <w:caps w:val="0"/>
      <w:smallCaps w:val="0"/>
      <w:strike w:val="0"/>
      <w:dstrike w:val="0"/>
      <w:noProof/>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next w:val="Normal"/>
    <w:autoRedefine/>
    <w:semiHidden/>
    <w:pPr>
      <w:spacing w:after="240"/>
    </w:pPr>
  </w:style>
  <w:style w:type="paragraph" w:styleId="TOC2">
    <w:name w:val="toc 2"/>
    <w:basedOn w:val="Normal"/>
    <w:next w:val="Normal"/>
    <w:autoRedefine/>
    <w:semiHidden/>
    <w:pPr>
      <w:spacing w:after="240"/>
      <w:ind w:left="245"/>
    </w:pPr>
  </w:style>
  <w:style w:type="paragraph" w:styleId="TOC3">
    <w:name w:val="toc 3"/>
    <w:basedOn w:val="Normal"/>
    <w:next w:val="Normal"/>
    <w:autoRedefine/>
    <w:semiHidden/>
    <w:pPr>
      <w:spacing w:after="240"/>
      <w:ind w:left="475"/>
    </w:pPr>
  </w:style>
  <w:style w:type="paragraph" w:styleId="TOC4">
    <w:name w:val="toc 4"/>
    <w:basedOn w:val="Normal"/>
    <w:next w:val="Normal"/>
    <w:autoRedefine/>
    <w:semiHidden/>
    <w:pPr>
      <w:spacing w:after="240"/>
      <w:ind w:left="720"/>
    </w:pPr>
  </w:style>
  <w:style w:type="paragraph" w:styleId="TOC5">
    <w:name w:val="toc 5"/>
    <w:basedOn w:val="Normal"/>
    <w:next w:val="Normal"/>
    <w:autoRedefine/>
    <w:semiHidden/>
    <w:pPr>
      <w:spacing w:after="240"/>
      <w:ind w:left="965"/>
    </w:pPr>
  </w:style>
  <w:style w:type="paragraph" w:styleId="TOC6">
    <w:name w:val="toc 6"/>
    <w:basedOn w:val="Normal"/>
    <w:next w:val="Normal"/>
    <w:autoRedefine/>
    <w:semiHidden/>
    <w:pPr>
      <w:spacing w:after="240"/>
      <w:ind w:left="1195"/>
    </w:pPr>
  </w:style>
  <w:style w:type="paragraph" w:styleId="TOC7">
    <w:name w:val="toc 7"/>
    <w:basedOn w:val="Normal"/>
    <w:next w:val="Normal"/>
    <w:autoRedefine/>
    <w:semiHidden/>
    <w:pPr>
      <w:spacing w:after="240"/>
      <w:ind w:left="1440"/>
    </w:pPr>
  </w:style>
  <w:style w:type="paragraph" w:styleId="TOC8">
    <w:name w:val="toc 8"/>
    <w:basedOn w:val="Normal"/>
    <w:next w:val="Normal"/>
    <w:autoRedefine/>
    <w:semiHidden/>
    <w:pPr>
      <w:spacing w:after="240"/>
      <w:ind w:left="1685"/>
    </w:pPr>
  </w:style>
  <w:style w:type="paragraph" w:styleId="TOC9">
    <w:name w:val="toc 9"/>
    <w:basedOn w:val="Normal"/>
    <w:next w:val="Normal"/>
    <w:autoRedefine/>
    <w:semiHidden/>
    <w:pPr>
      <w:spacing w:after="240"/>
      <w:ind w:left="1915"/>
    </w:p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b/>
    </w:rPr>
  </w:style>
  <w:style w:type="character" w:customStyle="1" w:styleId="DocID">
    <w:name w:val="DocID"/>
    <w:uiPriority w:val="99"/>
    <w:semiHidden/>
    <w:rPr>
      <w:rFonts w:ascii="Times New Roman" w:hAnsi="Times New Roman"/>
      <w:sz w:val="16"/>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table" w:styleId="TableGrid">
    <w:name w:val="Table Grid"/>
    <w:basedOn w:val="TableNormal"/>
    <w:rsid w:val="00EE7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467CB4"/>
    <w:rPr>
      <w:b/>
      <w:bCs/>
      <w:sz w:val="20"/>
    </w:rPr>
  </w:style>
  <w:style w:type="character" w:customStyle="1" w:styleId="CommentTextChar">
    <w:name w:val="Comment Text Char"/>
    <w:basedOn w:val="DefaultParagraphFont"/>
    <w:link w:val="CommentText"/>
    <w:semiHidden/>
    <w:rsid w:val="00467CB4"/>
    <w:rPr>
      <w:sz w:val="24"/>
    </w:rPr>
  </w:style>
  <w:style w:type="character" w:customStyle="1" w:styleId="CommentSubjectChar">
    <w:name w:val="Comment Subject Char"/>
    <w:basedOn w:val="CommentTextChar"/>
    <w:link w:val="CommentSubject"/>
    <w:rsid w:val="00467CB4"/>
    <w:rPr>
      <w:b/>
      <w:bCs/>
      <w:sz w:val="24"/>
    </w:rPr>
  </w:style>
  <w:style w:type="paragraph" w:styleId="NormalWeb">
    <w:name w:val="Normal (Web)"/>
    <w:basedOn w:val="Normal"/>
    <w:uiPriority w:val="99"/>
    <w:semiHidden/>
    <w:unhideWhenUsed/>
    <w:rsid w:val="00F13C56"/>
    <w:pPr>
      <w:widowControl/>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3739">
      <w:bodyDiv w:val="1"/>
      <w:marLeft w:val="0"/>
      <w:marRight w:val="0"/>
      <w:marTop w:val="0"/>
      <w:marBottom w:val="0"/>
      <w:divBdr>
        <w:top w:val="none" w:sz="0" w:space="0" w:color="auto"/>
        <w:left w:val="none" w:sz="0" w:space="0" w:color="auto"/>
        <w:bottom w:val="none" w:sz="0" w:space="0" w:color="auto"/>
        <w:right w:val="none" w:sz="0" w:space="0" w:color="auto"/>
      </w:divBdr>
    </w:div>
    <w:div w:id="730426548">
      <w:bodyDiv w:val="1"/>
      <w:marLeft w:val="0"/>
      <w:marRight w:val="0"/>
      <w:marTop w:val="0"/>
      <w:marBottom w:val="0"/>
      <w:divBdr>
        <w:top w:val="none" w:sz="0" w:space="0" w:color="auto"/>
        <w:left w:val="none" w:sz="0" w:space="0" w:color="auto"/>
        <w:bottom w:val="none" w:sz="0" w:space="0" w:color="auto"/>
        <w:right w:val="none" w:sz="0" w:space="0" w:color="auto"/>
      </w:divBdr>
    </w:div>
    <w:div w:id="1540320375">
      <w:bodyDiv w:val="1"/>
      <w:marLeft w:val="0"/>
      <w:marRight w:val="0"/>
      <w:marTop w:val="0"/>
      <w:marBottom w:val="0"/>
      <w:divBdr>
        <w:top w:val="none" w:sz="0" w:space="0" w:color="auto"/>
        <w:left w:val="none" w:sz="0" w:space="0" w:color="auto"/>
        <w:bottom w:val="none" w:sz="0" w:space="0" w:color="auto"/>
        <w:right w:val="none" w:sz="0" w:space="0" w:color="auto"/>
      </w:divBdr>
    </w:div>
    <w:div w:id="18764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ARTICLES OF INCORPORATION</vt:lpstr>
    </vt:vector>
  </TitlesOfParts>
  <Company>DWT</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dc:title>
  <dc:creator>Debi Hobbs</dc:creator>
  <cp:lastModifiedBy>Mike Loney</cp:lastModifiedBy>
  <cp:revision>3</cp:revision>
  <cp:lastPrinted>2016-02-10T01:42:00Z</cp:lastPrinted>
  <dcterms:created xsi:type="dcterms:W3CDTF">2016-02-10T01:43:00Z</dcterms:created>
  <dcterms:modified xsi:type="dcterms:W3CDTF">2016-05-17T05:39:00Z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DWT 22188207v1 0025276-000001</vt:lpwstr>
  </property>
</Properties>
</file>